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2D35" w:rsidRDefault="004B50FE">
      <w:pPr>
        <w:spacing w:after="0" w:line="276" w:lineRule="auto"/>
        <w:jc w:val="both"/>
        <w:rPr>
          <w:rFonts w:ascii="Times New Roman" w:eastAsia="Times New Roman" w:hAnsi="Times New Roman" w:cs="Times New Roman"/>
        </w:rPr>
      </w:pPr>
      <w:r>
        <w:object w:dxaOrig="1391" w:dyaOrig="1004">
          <v:rect id="rectole0000000000" o:spid="_x0000_i1025" style="width:69.75pt;height:50.25pt" o:ole="" o:preferrelative="t" stroked="f">
            <v:imagedata r:id="rId7" o:title=""/>
          </v:rect>
          <o:OLEObject Type="Embed" ProgID="StaticMetafile" ShapeID="rectole0000000000" DrawAspect="Content" ObjectID="_1801038004" r:id="rId8"/>
        </w:objec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COUR PENALE SPECIALE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REPUBLIQUE CENTRAFRICAINE</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Unité - Dignité - Travail</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PARQUET SPECIAL</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E02D35">
      <w:pPr>
        <w:spacing w:after="0" w:line="276" w:lineRule="auto"/>
        <w:jc w:val="both"/>
        <w:rPr>
          <w:rFonts w:ascii="Times New Roman" w:eastAsia="Times New Roman" w:hAnsi="Times New Roman" w:cs="Times New Roman"/>
        </w:rPr>
      </w:pP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center"/>
        <w:rPr>
          <w:rFonts w:ascii="Times New Roman" w:eastAsia="Times New Roman" w:hAnsi="Times New Roman" w:cs="Times New Roman"/>
          <w:b/>
          <w:u w:val="single"/>
        </w:rPr>
      </w:pPr>
      <w:r>
        <w:rPr>
          <w:rFonts w:ascii="Times New Roman" w:eastAsia="Times New Roman" w:hAnsi="Times New Roman" w:cs="Times New Roman"/>
          <w:b/>
          <w:u w:val="single"/>
        </w:rPr>
        <w:t>LA CREATION DES JURIDICTIONS HYBRIDES : ENJEUX, OPPORTUNITES ET DEFIS</w:t>
      </w:r>
    </w:p>
    <w:p w:rsidR="00E02D35" w:rsidRDefault="00E02D35">
      <w:pPr>
        <w:spacing w:after="0" w:line="276" w:lineRule="auto"/>
        <w:jc w:val="both"/>
        <w:rPr>
          <w:rFonts w:ascii="Times New Roman" w:eastAsia="Times New Roman" w:hAnsi="Times New Roman" w:cs="Times New Roman"/>
        </w:rPr>
      </w:pP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b/>
          <w:u w:val="single"/>
        </w:rPr>
        <w:t>Introduction</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A la suite des expériences juridictionnelles d’après-guerres et conflits armés dans les Balkans et Grands-lacs, la justice hybride est apparue comme une nouvelle approche dans la lutte contre l’impunité des violations des droits de l’homme et du droit international humanitaire. Ainsi, de Freetown à Bangui, des complexes juridictionnels mixtes, combinant des aspects nationaux et internationaux dans leur composition, statut, personnel, localisation et juridiction, ne cessent d’intégrer le système pénal international.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Et dans la perspective de création de nouvelles, l’on est tenté de s’interroger sur les raisons de cet engouement, au moment-même où la communauté internationale s’est résolue à l’idée d’une justice pénale universelle permanente par l’institution de la CPI qui, jusque lors, exerce pleinement ses compétences. A l’évidence, l’on en vient à admettre que pour des raisons techniques et pratiques, la justice hybride est parfois mieux adaptée à la situation de nombre d’Etats connaissant une certaine instabilité dont le règlement nécessite un processus de justice transitionnelle. </w:t>
      </w:r>
    </w:p>
    <w:p w:rsidR="00E02D35" w:rsidRDefault="00E02D35">
      <w:pPr>
        <w:spacing w:after="0" w:line="276" w:lineRule="auto"/>
        <w:jc w:val="both"/>
        <w:rPr>
          <w:rFonts w:ascii="Times New Roman" w:eastAsia="Times New Roman" w:hAnsi="Times New Roman" w:cs="Times New Roman"/>
        </w:rPr>
      </w:pP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Cependant, bien au-delà de cet avantage préférentiel, les sources doctrinales montrent que le contexte d’éclosion d’un tribunal mixte n’est jamais un « fleuve tranquille », en raison de l’écho qu’il renvoie d’un nécessaire consensus national et/ou international, entremêlant divers intérêts parfois malaisément conciliables (I). Néanmoins, les facteurs militant en faveur de la justice hybride lorsqu’elle est requise, sont tout aussi légion (II) même si des défis non moins importants peuvent côtoyer son déroulement effectif (III).</w:t>
      </w:r>
    </w:p>
    <w:p w:rsidR="00E02D35" w:rsidRDefault="00E02D35">
      <w:pPr>
        <w:spacing w:after="0" w:line="276" w:lineRule="auto"/>
        <w:jc w:val="both"/>
        <w:rPr>
          <w:rFonts w:ascii="Times New Roman" w:eastAsia="Times New Roman" w:hAnsi="Times New Roman" w:cs="Times New Roman"/>
        </w:rPr>
      </w:pPr>
    </w:p>
    <w:p w:rsidR="00FE374E" w:rsidRDefault="00FE374E">
      <w:pPr>
        <w:spacing w:after="0" w:line="276" w:lineRule="auto"/>
        <w:jc w:val="both"/>
        <w:rPr>
          <w:rFonts w:ascii="Times New Roman" w:eastAsia="Times New Roman" w:hAnsi="Times New Roman" w:cs="Times New Roman"/>
        </w:rPr>
      </w:pPr>
    </w:p>
    <w:p w:rsidR="00FE374E" w:rsidRDefault="00FE374E">
      <w:pPr>
        <w:spacing w:after="0" w:line="276" w:lineRule="auto"/>
        <w:jc w:val="both"/>
        <w:rPr>
          <w:rFonts w:ascii="Times New Roman" w:eastAsia="Times New Roman" w:hAnsi="Times New Roman" w:cs="Times New Roman"/>
        </w:rPr>
      </w:pPr>
    </w:p>
    <w:p w:rsidR="00FE374E" w:rsidRDefault="00FE374E">
      <w:pPr>
        <w:spacing w:after="0" w:line="276" w:lineRule="auto"/>
        <w:jc w:val="both"/>
        <w:rPr>
          <w:rFonts w:ascii="Times New Roman" w:eastAsia="Times New Roman" w:hAnsi="Times New Roman" w:cs="Times New Roman"/>
        </w:rPr>
      </w:pPr>
    </w:p>
    <w:p w:rsidR="00E02D35" w:rsidRDefault="004B50FE">
      <w:pPr>
        <w:numPr>
          <w:ilvl w:val="0"/>
          <w:numId w:val="1"/>
        </w:numPr>
        <w:spacing w:after="0" w:line="276" w:lineRule="auto"/>
        <w:ind w:left="1080" w:hanging="720"/>
        <w:jc w:val="both"/>
        <w:rPr>
          <w:rFonts w:ascii="Times New Roman" w:eastAsia="Times New Roman" w:hAnsi="Times New Roman" w:cs="Times New Roman"/>
          <w:b/>
        </w:rPr>
      </w:pPr>
      <w:r>
        <w:rPr>
          <w:rFonts w:ascii="Times New Roman" w:eastAsia="Times New Roman" w:hAnsi="Times New Roman" w:cs="Times New Roman"/>
          <w:b/>
        </w:rPr>
        <w:lastRenderedPageBreak/>
        <w:t>Contexte d’émergence d’une juridiction hybride</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Les juridictions hybrides ou mixtes ou encore internationalisées, naissent et exercent leur juridiction dans divers contextes, de sorte qu’il ne peut exister une juridiction hybride type, chacune devant répondre aux besoins spécifiques de son cadre contextuel. Elles sont en outre, « </w:t>
      </w:r>
      <w:proofErr w:type="spellStart"/>
      <w:r>
        <w:rPr>
          <w:rFonts w:ascii="Times New Roman" w:eastAsia="Times New Roman" w:hAnsi="Times New Roman" w:cs="Times New Roman"/>
        </w:rPr>
        <w:t>internationnalisables</w:t>
      </w:r>
      <w:proofErr w:type="spellEnd"/>
      <w:r>
        <w:rPr>
          <w:rFonts w:ascii="Times New Roman" w:eastAsia="Times New Roman" w:hAnsi="Times New Roman" w:cs="Times New Roman"/>
        </w:rPr>
        <w:t> » de plusieurs manières et à des niveaux divers.</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Généralement elles sont créées dans un contexte de conflit armé existant ou ancien pour adresser des besoins de justice dans un Etat où le cadre normatif et institutionnel judiciaire n’est pas ou plus en capacité de gérer des procédures complexes et de répondre aux exigences de justice dans la lutte contre l’impunité des crimes internationaux.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Dans ces circonstances et bien des cas, l’acte constitutif d’une juridiction hybride résulte d’un compromis politique conçu au bout de négociations entre acteurs nationaux et internationaux et mettant en jeu des intérêts politiques et/ou géopolitiques en raison de l’évolution de la scène internationale et la nature du conflit. Ces jeux politiques déterminent souvent la nature de l’acte constitutif qui peut reposer sur une loi à la suite d’un accord entre les autorités nationales et un organisme international ou régional comme les Nations unies, l’UA ou l’UE…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Ils peuvent en outre déterminer l’étendue de la compétence de la juridiction, son autonomie vis-à-vis du système judiciaire national, la localisation de son siège, l’achèvement du processus de création... A ce propos, l’on se rappelle l’hostilité des seigneurs de guerre libériens pour la mise en place d’un tribunal spécial. Au Liban, il est admis que l’environnement politique intérieur et extérieur a présidé à la délocalisation du siège du TSL. Un tel environnement peut rendre précaire la stabilité globale d’un pays notamment lorsque la juridiction hybride est appelée à officier dans une situation nationale de conflit persistant.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Toujours est-il que l’avènement d’une justice hybride constitue toujours une occasion pour des factions adverses de se réunir autour d’une réponse pénale commune et crédible aux attentes de justice des victimes et des communautés en vue de la reconstruction d’un système judiciaire solide et d’un Etat de droit durable.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Il demeure certain que dans le jeu des intérêts, les acteurs nationaux, tout en cédant une part de souveraineté, chercheront à minimiser les actions de justice à leur encontre souvent par des signatures d’accords de paix, tandis que la communauté internationale, qui pourvoit au financement, veillera à l’implémentation des règles du droit international pénal et au respect des standards internationaux en matière de droits fondamentaux et de garanties procédurales.</w:t>
      </w:r>
      <w:r>
        <w:rPr>
          <w:rFonts w:ascii="Calibri" w:eastAsia="Calibri" w:hAnsi="Calibri" w:cs="Calibri"/>
          <w:sz w:val="22"/>
        </w:rPr>
        <w:t xml:space="preserve"> </w:t>
      </w:r>
      <w:r>
        <w:rPr>
          <w:rFonts w:ascii="Times New Roman" w:eastAsia="Times New Roman" w:hAnsi="Times New Roman" w:cs="Times New Roman"/>
        </w:rPr>
        <w:t>Ce qui illustre bien les tensions existantes entre les négociations de paix et les attentes de justice et, les tiraillements entre considérations d’ordre morale et les tractations politiques.</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Il faut noter que l’émergence des tribunaux mixtes s’opère également dans un environnement judiciaire international peu réceptif du modèle des TPI et où, la CPI semble se résoudre parfois, à un partage voire un abandon de juridiction dans des cas de situations ayant fait l’objet de </w:t>
      </w:r>
      <w:r>
        <w:rPr>
          <w:rFonts w:ascii="Times New Roman" w:eastAsia="Times New Roman" w:hAnsi="Times New Roman" w:cs="Times New Roman"/>
        </w:rPr>
        <w:lastRenderedPageBreak/>
        <w:t>renvois. Des facteurs favorables offrent la justice hybride en opportunité, comme un modèle justice préférable un contexte difficile.</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2"/>
        </w:numPr>
        <w:spacing w:after="0" w:line="276" w:lineRule="auto"/>
        <w:ind w:left="1080" w:hanging="720"/>
        <w:jc w:val="both"/>
        <w:rPr>
          <w:rFonts w:ascii="Times New Roman" w:eastAsia="Times New Roman" w:hAnsi="Times New Roman" w:cs="Times New Roman"/>
          <w:b/>
        </w:rPr>
      </w:pPr>
      <w:r>
        <w:rPr>
          <w:rFonts w:ascii="Times New Roman" w:eastAsia="Times New Roman" w:hAnsi="Times New Roman" w:cs="Times New Roman"/>
          <w:b/>
        </w:rPr>
        <w:t>Les facteurs favorables à la justice hybride</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Au nombre des facteurs favorisant l’implantation d’une juridiction hybride sont à rechercher dans la situation actuelle de la justice nationale et internationale.</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Sur le plan national, le système judiciaire national post-conflit connait se retrouve toujours dans un état de déliquescence marqué par :</w:t>
      </w:r>
    </w:p>
    <w:p w:rsidR="00E02D35" w:rsidRDefault="004B50FE">
      <w:pPr>
        <w:numPr>
          <w:ilvl w:val="0"/>
          <w:numId w:val="3"/>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Une destruction des infrastructures judiciaires, du matériel, des dossiers et archives … ;</w:t>
      </w:r>
    </w:p>
    <w:p w:rsidR="00E02D35" w:rsidRDefault="004B50FE">
      <w:pPr>
        <w:numPr>
          <w:ilvl w:val="0"/>
          <w:numId w:val="3"/>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dispersion du personnel fuyant l’insécurité ;</w:t>
      </w:r>
    </w:p>
    <w:p w:rsidR="00E02D35" w:rsidRDefault="004B50FE">
      <w:pPr>
        <w:numPr>
          <w:ilvl w:val="0"/>
          <w:numId w:val="3"/>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L’illégitimité ou l’incapacité d’un tel personnel ou appareil judiciaire de faire face aux principaux acteurs du conflit ;</w:t>
      </w:r>
    </w:p>
    <w:p w:rsidR="00E02D35" w:rsidRDefault="00E02D35">
      <w:pPr>
        <w:spacing w:after="0" w:line="276" w:lineRule="auto"/>
        <w:ind w:left="720"/>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Sur le plan international, l’intervention des juridictions pénales internationales suscite une certaine méfiance et les critiques qui suivent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Leur lenteur résultant d’une certaine bureaucratisation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Leur éloignement des lieux des faits et de la communauté des justiciables concernés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Des poursuites sélectives mettant en doute leur impartialité et indépendance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Une intervention extérieure sans aucune plus-value au titre de la reconstruction du système judiciaire national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Impossibilité de couvrir toutes les situations de crimes notamment en cas de limites de compétence comme c’est le cas de la CPI (limite rationae </w:t>
      </w:r>
      <w:proofErr w:type="spellStart"/>
      <w:r>
        <w:rPr>
          <w:rFonts w:ascii="Times New Roman" w:eastAsia="Times New Roman" w:hAnsi="Times New Roman" w:cs="Times New Roman"/>
        </w:rPr>
        <w:t>loci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temporis</w:t>
      </w:r>
      <w:proofErr w:type="spellEnd"/>
      <w:r>
        <w:rPr>
          <w:rFonts w:ascii="Times New Roman" w:eastAsia="Times New Roman" w:hAnsi="Times New Roman" w:cs="Times New Roman"/>
        </w:rPr>
        <w:t>, materiae et personae avec la possibilité pour le Conseil de Sécurité de décider certaines poursuites) ;</w:t>
      </w:r>
    </w:p>
    <w:p w:rsidR="00E02D35" w:rsidRDefault="004B50FE">
      <w:pPr>
        <w:numPr>
          <w:ilvl w:val="0"/>
          <w:numId w:val="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Le gouffre financier qu’elles représentent pour la communauté internationale au regard de bilans mitigés.</w:t>
      </w:r>
    </w:p>
    <w:p w:rsidR="00E02D35" w:rsidRDefault="00E02D35">
      <w:pPr>
        <w:spacing w:after="0" w:line="276" w:lineRule="auto"/>
        <w:ind w:left="720"/>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En l’état de ces constatations et critiques, le recours à la communauté internationale pour le relèvement du système judiciaire nationale par l’apport d’un élément d’extranéité, comporte plusieurs avantages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D’une juridiction de proximité (proximité géographique et psychologique des victimes et témoins et autres moyens de preuves, du public…) ;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Une plus grande légitimité et une impartialité accrue grâce à l’hybridité (l’apport international renforce l’apparence d’objectivité, l’indépendance et l’impartialité et favorise le partage d’expériences et de connaissance)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 Un développement de la législation pénale nationale avec l’introduction</w:t>
      </w:r>
      <w:r>
        <w:rPr>
          <w:rFonts w:ascii="Calibri" w:eastAsia="Calibri" w:hAnsi="Calibri" w:cs="Calibri"/>
          <w:sz w:val="22"/>
        </w:rPr>
        <w:t xml:space="preserve"> </w:t>
      </w:r>
      <w:r>
        <w:rPr>
          <w:rFonts w:ascii="Times New Roman" w:eastAsia="Times New Roman" w:hAnsi="Times New Roman" w:cs="Times New Roman"/>
        </w:rPr>
        <w:t>dans le droit interne du droit international des droits humains, du droit international humanitaire et du droit international pénal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Renforcement du cadre institutionnel par la disposition d’infrastructures nouvelles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Disposer de compétences plus larges prenant en compte des crimes de droit commun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Des dépenses moins importantes par rapport aux juridictions internationales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Favoriser la réconciliation nationale par la rupture de la chaine de l’impunité et la proximité aux populations victimes ; </w:t>
      </w:r>
    </w:p>
    <w:p w:rsidR="00E02D35" w:rsidRDefault="004B50FE">
      <w:pPr>
        <w:numPr>
          <w:ilvl w:val="0"/>
          <w:numId w:val="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lastRenderedPageBreak/>
        <w:t>Participer au développement du droit international pénal en apportant des réflexions à la jurisprudence internationale. En exemple : TSSL a travaillé à la précision des notions de crimes de conscription d’enfants soldats ou de mariage forcé ; Le TSL s’est essayé dans la connaissance de la notion de crime de terrorisme. La CPS pour sa part, contribue à la construction d’une nouvelle vision des réparations en matière de répression des crimes internationaux et l’organisation de la défense en cas in absentia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Tout ce qui précède rappelle que le recours à la justice hybride comporte de réels atouts et qu’elle demeure une solution pratique, réalisable et judicieuse à la question de l’impunité des crimes graves. Cependant, sa mise en œuvre laisse apparaitre des défis majeurs à relever.</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6"/>
        </w:numPr>
        <w:spacing w:after="0" w:line="276" w:lineRule="auto"/>
        <w:ind w:left="1080" w:hanging="720"/>
        <w:jc w:val="both"/>
        <w:rPr>
          <w:rFonts w:ascii="Times New Roman" w:eastAsia="Times New Roman" w:hAnsi="Times New Roman" w:cs="Times New Roman"/>
          <w:b/>
        </w:rPr>
      </w:pPr>
      <w:r>
        <w:rPr>
          <w:rFonts w:ascii="Times New Roman" w:eastAsia="Times New Roman" w:hAnsi="Times New Roman" w:cs="Times New Roman"/>
          <w:b/>
        </w:rPr>
        <w:t xml:space="preserve">Les défis liés à la justice hybride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Les défis auxquels les juridictions hybrides peuvent être confrontées ont principalement trait à :</w:t>
      </w:r>
    </w:p>
    <w:p w:rsidR="00E02D35" w:rsidRDefault="004B50FE">
      <w:pPr>
        <w:numPr>
          <w:ilvl w:val="0"/>
          <w:numId w:val="7"/>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barrière linguistique ou la maitrise de la langue ou des langues de travail de la juridiction hybride. Ce pose un problème de compréhension des textes, de communication et nécessite un travail supplémentaire d’interprétation et de traduction ;</w:t>
      </w:r>
    </w:p>
    <w:p w:rsidR="00E02D35" w:rsidRDefault="00E02D35">
      <w:pPr>
        <w:spacing w:after="0" w:line="276" w:lineRule="auto"/>
        <w:ind w:left="720"/>
        <w:jc w:val="both"/>
        <w:rPr>
          <w:rFonts w:ascii="Times New Roman" w:eastAsia="Times New Roman" w:hAnsi="Times New Roman" w:cs="Times New Roman"/>
        </w:rPr>
      </w:pPr>
    </w:p>
    <w:p w:rsidR="00E02D35" w:rsidRDefault="004B50FE">
      <w:pPr>
        <w:numPr>
          <w:ilvl w:val="0"/>
          <w:numId w:val="8"/>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maitrise du droit applicable devant la juridiction, constitué de la législation nationale et du droit international comme c’est le cas devant la CPS avec l’art 3 al 4 de la loi organique qui renvoie à tout le droit substantiel, les règles de procédure et la jurisprudence dans le cadre établi du droit international, formé au confluent du Civil Law et du Common Law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9"/>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qualité des connaissances juridiques des acteurs. Le principe veut que les nationaux connaissent le droit national et les internationaux, le droit international pénal. Mais, il bien arrivé que certains juges et magistrats n’aient aucune connaissance éprouvée de l’un ou de l’autre droit. Naturellement, l’on est tenté de se référer au droit qu’on connait si bien, suscitant ainsi des querelles de droits applicables ou d’interprétations juridiques. Or, l’hybridité des acteurs suppose une hybridité de pensées, de pratiques et de techniques juridiques et judiciaires, d’où la nécessité de mettre l’accent sur le recrutement interne et externe.</w:t>
      </w:r>
    </w:p>
    <w:p w:rsidR="00E02D35" w:rsidRDefault="00E02D35">
      <w:pPr>
        <w:spacing w:after="0" w:line="276" w:lineRule="auto"/>
        <w:ind w:left="720"/>
        <w:jc w:val="both"/>
        <w:rPr>
          <w:rFonts w:ascii="Times New Roman" w:eastAsia="Times New Roman" w:hAnsi="Times New Roman" w:cs="Times New Roman"/>
        </w:rPr>
      </w:pPr>
    </w:p>
    <w:p w:rsidR="00E02D35" w:rsidRDefault="004B50FE">
      <w:pPr>
        <w:numPr>
          <w:ilvl w:val="0"/>
          <w:numId w:val="10"/>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L’indépendance et l’impartialité des juges et magistrats en raison des nomination et renouvèlement de mandats par des autorités souvent parties au conflit toujours en cours, des acteurs pourraient en être victimes surtout dans le cas d’un conflits interethniques ;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11"/>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faible voire la non-maitrise par certains acteurs judiciaires des NTIC applicables à la digitalisation de l’activité juridictionnelle. Ce qui peut entrainer l’allongement des délais de traitement des dossiers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4B50FE">
      <w:pPr>
        <w:numPr>
          <w:ilvl w:val="0"/>
          <w:numId w:val="12"/>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lastRenderedPageBreak/>
        <w:t>L’insuffisance et l’inadaptation du système de financement notamment les contributions volontaires des Etats, d’OIG et d’ONG qui ne garantissent pas un appui durable et la gestion en projet qui contraste avec le fonctionnement des juridictions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13"/>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Aux respects de la diversité et du genre dans un environnement multinational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14"/>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 xml:space="preserve"> La perception d’une justice à double vitesse entre la juridiction hybride et de droit commun au regard du respect des principes et standards internationaux applicables au procès, au choix de la peine et au système carcéral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15"/>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question des réparations des victimes et des Fonds d’indemnisation ;</w:t>
      </w:r>
    </w:p>
    <w:p w:rsidR="00E02D35" w:rsidRDefault="00E02D35">
      <w:pPr>
        <w:spacing w:after="0" w:line="276" w:lineRule="auto"/>
        <w:jc w:val="both"/>
        <w:rPr>
          <w:rFonts w:ascii="Times New Roman" w:eastAsia="Times New Roman" w:hAnsi="Times New Roman" w:cs="Times New Roman"/>
        </w:rPr>
      </w:pPr>
    </w:p>
    <w:p w:rsidR="00E02D35" w:rsidRDefault="004B50FE">
      <w:pPr>
        <w:numPr>
          <w:ilvl w:val="0"/>
          <w:numId w:val="16"/>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localisation à proximité des lieux des crimes expose les acteurs judiciaires à des menaces et autres risques ;</w:t>
      </w:r>
    </w:p>
    <w:p w:rsidR="00E02D35" w:rsidRDefault="00E02D35">
      <w:pPr>
        <w:spacing w:after="200" w:line="276" w:lineRule="auto"/>
        <w:ind w:left="720"/>
        <w:rPr>
          <w:rFonts w:ascii="Times New Roman" w:eastAsia="Times New Roman" w:hAnsi="Times New Roman" w:cs="Times New Roman"/>
        </w:rPr>
      </w:pPr>
    </w:p>
    <w:p w:rsidR="00E02D35" w:rsidRDefault="004B50FE">
      <w:pPr>
        <w:numPr>
          <w:ilvl w:val="0"/>
          <w:numId w:val="17"/>
        </w:numPr>
        <w:spacing w:after="0" w:line="276" w:lineRule="auto"/>
        <w:ind w:left="720" w:hanging="360"/>
        <w:jc w:val="both"/>
        <w:rPr>
          <w:rFonts w:ascii="Times New Roman" w:eastAsia="Times New Roman" w:hAnsi="Times New Roman" w:cs="Times New Roman"/>
        </w:rPr>
      </w:pPr>
      <w:r>
        <w:rPr>
          <w:rFonts w:ascii="Times New Roman" w:eastAsia="Times New Roman" w:hAnsi="Times New Roman" w:cs="Times New Roman"/>
        </w:rPr>
        <w:t>La coopération timide o</w:t>
      </w:r>
      <w:bookmarkStart w:id="0" w:name="_GoBack"/>
      <w:bookmarkEnd w:id="0"/>
      <w:r>
        <w:rPr>
          <w:rFonts w:ascii="Times New Roman" w:eastAsia="Times New Roman" w:hAnsi="Times New Roman" w:cs="Times New Roman"/>
        </w:rPr>
        <w:t>u inexistante avec les Etats de refuge des auteurs de crimes ou pouvant partager des renseignements ou éléments de preuve utiles à la manifestation de la vérité.</w:t>
      </w:r>
    </w:p>
    <w:p w:rsidR="00E02D35" w:rsidRDefault="00E02D35">
      <w:pPr>
        <w:spacing w:after="0" w:line="276" w:lineRule="auto"/>
        <w:jc w:val="both"/>
        <w:rPr>
          <w:rFonts w:ascii="Times New Roman" w:eastAsia="Times New Roman" w:hAnsi="Times New Roman" w:cs="Times New Roman"/>
        </w:rPr>
      </w:pPr>
    </w:p>
    <w:p w:rsidR="00752CCB" w:rsidRDefault="00752CCB">
      <w:pPr>
        <w:spacing w:after="0" w:line="276" w:lineRule="auto"/>
        <w:jc w:val="both"/>
        <w:rPr>
          <w:rFonts w:ascii="Times New Roman" w:eastAsia="Times New Roman" w:hAnsi="Times New Roman" w:cs="Times New Roman"/>
          <w:b/>
          <w:u w:val="single"/>
        </w:rPr>
      </w:pPr>
    </w:p>
    <w:p w:rsidR="00752CCB" w:rsidRDefault="00752CCB">
      <w:pPr>
        <w:spacing w:after="0" w:line="276" w:lineRule="auto"/>
        <w:jc w:val="both"/>
        <w:rPr>
          <w:rFonts w:ascii="Times New Roman" w:eastAsia="Times New Roman" w:hAnsi="Times New Roman" w:cs="Times New Roman"/>
          <w:b/>
          <w:u w:val="single"/>
        </w:rPr>
      </w:pPr>
    </w:p>
    <w:p w:rsidR="00E02D35" w:rsidRDefault="00752CCB">
      <w:pPr>
        <w:spacing w:after="0" w:line="276" w:lineRule="auto"/>
        <w:jc w:val="both"/>
        <w:rPr>
          <w:rFonts w:ascii="Times New Roman" w:eastAsia="Times New Roman" w:hAnsi="Times New Roman" w:cs="Times New Roman"/>
          <w:b/>
          <w:u w:val="single"/>
        </w:rPr>
      </w:pPr>
      <w:r>
        <w:rPr>
          <w:rFonts w:ascii="Times New Roman" w:eastAsia="Times New Roman" w:hAnsi="Times New Roman" w:cs="Times New Roman"/>
          <w:b/>
          <w:u w:val="single"/>
        </w:rPr>
        <w:t>CONCLUSION</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Les juridictions hybrides sont, de l’avis d’observateurs avisés du système pénal international, le futur fondement de la justice pénale en ce qu’elles constituent une réponse viable et pratique largement acceptée, à l’impunité des crimes graves et aux attentes de justice des victimes. Elles ont l’avantage de la proximité et contribuent, au croisement des droits national et international, au développement du droit international pénal, en dépit défis majeurs qui côtoient leurs œuvres juridictionnelles.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A ce propos, le Procureur BENSOUDA disait que « les tribunaux internationaux mixtes sont une réponse pragmatique à la nécessité de combler le fossé entre justice internationale et les systèmes judiciaires nationaux. Ils reflètent la reconnaissance de la complexité des crimes internationaux et la nécessité de mobiliser des compétences et des ressources diverses pour y faire face ».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Et pour Antoine </w:t>
      </w:r>
      <w:proofErr w:type="spellStart"/>
      <w:r>
        <w:rPr>
          <w:rFonts w:ascii="Times New Roman" w:eastAsia="Times New Roman" w:hAnsi="Times New Roman" w:cs="Times New Roman"/>
        </w:rPr>
        <w:t>Garapon</w:t>
      </w:r>
      <w:proofErr w:type="spellEnd"/>
      <w:r>
        <w:rPr>
          <w:rFonts w:ascii="Times New Roman" w:eastAsia="Times New Roman" w:hAnsi="Times New Roman" w:cs="Times New Roman"/>
        </w:rPr>
        <w:t>, « Malgré les obstacles et difficultés, la voie des juridictions pénales internationalisées pourrait être l’une de celles préparant l’avènement d’une justice pénale internationale prétendant moins se substituer au pouvoir étatique que le stimuler, moins s’y superposer que le superviser, moins triompher de lui que le responsabiliser ».</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lastRenderedPageBreak/>
        <w:t>Il est donc bien évident que cette catégorie de tribunaux demeurera une attraction dans les années à venir puisqu’on en fait allusion à propos des conflits en RDC, Soudan, Sud-Soudan, Libéria, au Moyen-Orient, en Syrie, en Ukraine, la situation en Gambie et pourquoi pas dans le Sahel ouest-africain…</w:t>
      </w:r>
    </w:p>
    <w:p w:rsidR="00E02D35" w:rsidRDefault="00E02D35">
      <w:pPr>
        <w:spacing w:after="0" w:line="276" w:lineRule="auto"/>
        <w:jc w:val="both"/>
        <w:rPr>
          <w:rFonts w:ascii="Times New Roman" w:eastAsia="Times New Roman" w:hAnsi="Times New Roman" w:cs="Times New Roman"/>
        </w:rPr>
      </w:pPr>
    </w:p>
    <w:p w:rsidR="00E02D35" w:rsidRDefault="004B50FE">
      <w:pPr>
        <w:spacing w:after="0" w:line="276" w:lineRule="auto"/>
        <w:jc w:val="both"/>
        <w:rPr>
          <w:rFonts w:ascii="Times New Roman" w:eastAsia="Times New Roman" w:hAnsi="Times New Roman" w:cs="Times New Roman"/>
        </w:rPr>
      </w:pPr>
      <w:r>
        <w:rPr>
          <w:rFonts w:ascii="Times New Roman" w:eastAsia="Times New Roman" w:hAnsi="Times New Roman" w:cs="Times New Roman"/>
        </w:rPr>
        <w:t>Cette perspective invite surtout à la réflexion dans le but de déterminer une justice hybride modèle moins exposée aux critiques les plus courantes tout en évitant le risque de fragmentation du droit international pénal que certains internationalistes redoutent au sujet de la prolifération de telles juridictions.</w:t>
      </w:r>
    </w:p>
    <w:p w:rsidR="00E02D35" w:rsidRDefault="00E02D35">
      <w:pPr>
        <w:spacing w:after="0" w:line="276" w:lineRule="auto"/>
        <w:jc w:val="both"/>
        <w:rPr>
          <w:rFonts w:ascii="Times New Roman" w:eastAsia="Times New Roman" w:hAnsi="Times New Roman" w:cs="Times New Roman"/>
        </w:rPr>
      </w:pPr>
    </w:p>
    <w:p w:rsidR="00E02D35" w:rsidRDefault="00E02D35">
      <w:pPr>
        <w:spacing w:after="0" w:line="276" w:lineRule="auto"/>
        <w:jc w:val="both"/>
        <w:rPr>
          <w:rFonts w:ascii="Times New Roman" w:eastAsia="Times New Roman" w:hAnsi="Times New Roman" w:cs="Times New Roman"/>
        </w:rPr>
      </w:pPr>
    </w:p>
    <w:sectPr w:rsidR="00E02D3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02F3" w:rsidRDefault="003C02F3" w:rsidP="00FE374E">
      <w:pPr>
        <w:spacing w:after="0" w:line="240" w:lineRule="auto"/>
      </w:pPr>
      <w:r>
        <w:separator/>
      </w:r>
    </w:p>
  </w:endnote>
  <w:endnote w:type="continuationSeparator" w:id="0">
    <w:p w:rsidR="003C02F3" w:rsidRDefault="003C02F3" w:rsidP="00FE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18"/>
        <w:szCs w:val="18"/>
      </w:rPr>
      <w:id w:val="995844106"/>
      <w:docPartObj>
        <w:docPartGallery w:val="Page Numbers (Bottom of Page)"/>
        <w:docPartUnique/>
      </w:docPartObj>
    </w:sdtPr>
    <w:sdtContent>
      <w:p w:rsidR="00FE374E" w:rsidRPr="00FC04EB" w:rsidRDefault="00FE374E" w:rsidP="00FE374E">
        <w:pPr>
          <w:spacing w:after="0" w:line="240" w:lineRule="auto"/>
          <w:jc w:val="center"/>
          <w:rPr>
            <w:rFonts w:ascii="Times New Roman" w:hAnsi="Times New Roman" w:cs="Times New Roman"/>
            <w:b/>
            <w:bCs/>
            <w:i/>
            <w:sz w:val="18"/>
            <w:szCs w:val="18"/>
          </w:rPr>
        </w:pPr>
        <w:r w:rsidRPr="00FC04EB">
          <w:rPr>
            <w:i/>
            <w:sz w:val="18"/>
            <w:szCs w:val="18"/>
          </w:rPr>
          <w:t xml:space="preserve">Présentation de Monsieur </w:t>
        </w:r>
        <w:r>
          <w:rPr>
            <w:rFonts w:ascii="Times New Roman" w:hAnsi="Times New Roman" w:cs="Times New Roman"/>
            <w:b/>
            <w:bCs/>
            <w:i/>
            <w:sz w:val="18"/>
            <w:szCs w:val="18"/>
          </w:rPr>
          <w:t xml:space="preserve">Alain </w:t>
        </w:r>
        <w:proofErr w:type="spellStart"/>
        <w:r>
          <w:rPr>
            <w:rFonts w:ascii="Times New Roman" w:hAnsi="Times New Roman" w:cs="Times New Roman"/>
            <w:b/>
            <w:bCs/>
            <w:i/>
            <w:sz w:val="18"/>
            <w:szCs w:val="18"/>
          </w:rPr>
          <w:t>Ouaby</w:t>
        </w:r>
        <w:proofErr w:type="spellEnd"/>
        <w:r>
          <w:rPr>
            <w:rFonts w:ascii="Times New Roman" w:hAnsi="Times New Roman" w:cs="Times New Roman"/>
            <w:b/>
            <w:bCs/>
            <w:i/>
            <w:sz w:val="18"/>
            <w:szCs w:val="18"/>
          </w:rPr>
          <w:t xml:space="preserve"> BEKAR</w:t>
        </w:r>
        <w:r w:rsidRPr="00FC04EB">
          <w:rPr>
            <w:rFonts w:ascii="Times New Roman" w:hAnsi="Times New Roman" w:cs="Times New Roman"/>
            <w:b/>
            <w:bCs/>
            <w:i/>
            <w:sz w:val="18"/>
            <w:szCs w:val="18"/>
          </w:rPr>
          <w:t>, Procureur</w:t>
        </w:r>
        <w:r>
          <w:rPr>
            <w:rFonts w:ascii="Times New Roman" w:hAnsi="Times New Roman" w:cs="Times New Roman"/>
            <w:b/>
            <w:bCs/>
            <w:i/>
            <w:sz w:val="18"/>
            <w:szCs w:val="18"/>
          </w:rPr>
          <w:t xml:space="preserve"> spécial </w:t>
        </w:r>
        <w:proofErr w:type="spellStart"/>
        <w:r>
          <w:rPr>
            <w:rFonts w:ascii="Times New Roman" w:hAnsi="Times New Roman" w:cs="Times New Roman"/>
            <w:b/>
            <w:bCs/>
            <w:i/>
            <w:sz w:val="18"/>
            <w:szCs w:val="18"/>
          </w:rPr>
          <w:t>adjoint</w:t>
        </w:r>
        <w:r w:rsidRPr="00FC04EB">
          <w:rPr>
            <w:rFonts w:ascii="Times New Roman" w:hAnsi="Times New Roman" w:cs="Times New Roman"/>
            <w:b/>
            <w:bCs/>
            <w:i/>
            <w:sz w:val="18"/>
            <w:szCs w:val="18"/>
          </w:rPr>
          <w:t>t</w:t>
        </w:r>
        <w:proofErr w:type="spellEnd"/>
        <w:r w:rsidRPr="00FC04EB">
          <w:rPr>
            <w:rFonts w:ascii="Times New Roman" w:hAnsi="Times New Roman" w:cs="Times New Roman"/>
            <w:b/>
            <w:bCs/>
            <w:i/>
            <w:sz w:val="18"/>
            <w:szCs w:val="18"/>
          </w:rPr>
          <w:t>/CPS sur « la</w:t>
        </w:r>
        <w:r>
          <w:rPr>
            <w:rFonts w:ascii="Times New Roman" w:hAnsi="Times New Roman" w:cs="Times New Roman"/>
            <w:b/>
            <w:bCs/>
            <w:i/>
            <w:sz w:val="18"/>
            <w:szCs w:val="18"/>
          </w:rPr>
          <w:t xml:space="preserve"> création de juridictions hybrides : enjeux, opportunités et défis</w:t>
        </w:r>
        <w:r w:rsidRPr="00FC04EB">
          <w:rPr>
            <w:rFonts w:ascii="Times New Roman" w:hAnsi="Times New Roman" w:cs="Times New Roman"/>
            <w:b/>
            <w:bCs/>
            <w:i/>
            <w:sz w:val="18"/>
            <w:szCs w:val="18"/>
          </w:rPr>
          <w:t> »</w:t>
        </w:r>
      </w:p>
      <w:p w:rsidR="00FE374E" w:rsidRDefault="00FE374E" w:rsidP="00FE374E">
        <w:pPr>
          <w:pStyle w:val="Pieddepage"/>
          <w:jc w:val="center"/>
          <w:rPr>
            <w:i/>
            <w:sz w:val="18"/>
            <w:szCs w:val="18"/>
          </w:rPr>
        </w:pPr>
        <w:r w:rsidRPr="00FC04EB">
          <w:rPr>
            <w:i/>
            <w:sz w:val="18"/>
            <w:szCs w:val="18"/>
          </w:rPr>
          <w:t>CPI, Dakar, les 17 et 17 décembre 2024 à Dakar</w:t>
        </w:r>
      </w:p>
    </w:sdtContent>
  </w:sdt>
  <w:p w:rsidR="00FE374E" w:rsidRDefault="00752CCB">
    <w:pPr>
      <w:pStyle w:val="Pieddepage"/>
    </w:pPr>
    <w:r w:rsidRPr="00FC04EB">
      <w:rPr>
        <w:i/>
        <w:noProof/>
        <w:sz w:val="18"/>
        <w:szCs w:val="18"/>
        <w:lang w:eastAsia="fr-FR"/>
      </w:rPr>
      <mc:AlternateContent>
        <mc:Choice Requires="wps">
          <w:drawing>
            <wp:anchor distT="0" distB="0" distL="114300" distR="114300" simplePos="0" relativeHeight="251659264" behindDoc="0" locked="0" layoutInCell="0" allowOverlap="1" wp14:anchorId="153B8F9E" wp14:editId="29014B56">
              <wp:simplePos x="0" y="0"/>
              <wp:positionH relativeFrom="rightMargin">
                <wp:posOffset>314325</wp:posOffset>
              </wp:positionH>
              <wp:positionV relativeFrom="bottomMargin">
                <wp:posOffset>501650</wp:posOffset>
              </wp:positionV>
              <wp:extent cx="368300" cy="274320"/>
              <wp:effectExtent l="9525" t="9525" r="12700" b="11430"/>
              <wp:wrapNone/>
              <wp:docPr id="4" name="Carré corné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FE374E" w:rsidRDefault="00FE374E" w:rsidP="00FE374E">
                          <w:pPr>
                            <w:jc w:val="center"/>
                          </w:pPr>
                          <w:r>
                            <w:rPr>
                              <w:sz w:val="22"/>
                              <w:szCs w:val="22"/>
                            </w:rPr>
                            <w:fldChar w:fldCharType="begin"/>
                          </w:r>
                          <w:r>
                            <w:instrText>PAGE    \* MERGEFORMAT</w:instrText>
                          </w:r>
                          <w:r>
                            <w:rPr>
                              <w:sz w:val="22"/>
                              <w:szCs w:val="22"/>
                            </w:rPr>
                            <w:fldChar w:fldCharType="separate"/>
                          </w:r>
                          <w:r w:rsidR="00752CCB" w:rsidRPr="00752CCB">
                            <w:rPr>
                              <w:noProof/>
                              <w:sz w:val="16"/>
                              <w:szCs w:val="16"/>
                            </w:rPr>
                            <w:t>4</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3B8F9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4" o:spid="_x0000_s1026" type="#_x0000_t65" style="position:absolute;margin-left:24.75pt;margin-top:39.5pt;width:29pt;height:21.6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" o:allowincell="f" adj="14135" strokecolor="gray" strokeweight=".25pt">
              <v:textbox>
                <w:txbxContent>
                  <w:p w:rsidR="00FE374E" w:rsidRDefault="00FE374E" w:rsidP="00FE374E">
                    <w:pPr>
                      <w:jc w:val="center"/>
                    </w:pPr>
                    <w:r>
                      <w:rPr>
                        <w:sz w:val="22"/>
                        <w:szCs w:val="22"/>
                      </w:rPr>
                      <w:fldChar w:fldCharType="begin"/>
                    </w:r>
                    <w:r>
                      <w:instrText>PAGE    \* MERGEFORMAT</w:instrText>
                    </w:r>
                    <w:r>
                      <w:rPr>
                        <w:sz w:val="22"/>
                        <w:szCs w:val="22"/>
                      </w:rPr>
                      <w:fldChar w:fldCharType="separate"/>
                    </w:r>
                    <w:r w:rsidR="00752CCB" w:rsidRPr="00752CCB">
                      <w:rPr>
                        <w:noProof/>
                        <w:sz w:val="16"/>
                        <w:szCs w:val="16"/>
                      </w:rPr>
                      <w:t>4</w:t>
                    </w:r>
                    <w:r>
                      <w:rPr>
                        <w:sz w:val="16"/>
                        <w:szCs w:val="16"/>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02F3" w:rsidRDefault="003C02F3" w:rsidP="00FE374E">
      <w:pPr>
        <w:spacing w:after="0" w:line="240" w:lineRule="auto"/>
      </w:pPr>
      <w:r>
        <w:separator/>
      </w:r>
    </w:p>
  </w:footnote>
  <w:footnote w:type="continuationSeparator" w:id="0">
    <w:p w:rsidR="003C02F3" w:rsidRDefault="003C02F3" w:rsidP="00FE3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4622E"/>
    <w:multiLevelType w:val="multilevel"/>
    <w:tmpl w:val="A7169C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880707"/>
    <w:multiLevelType w:val="multilevel"/>
    <w:tmpl w:val="A9582F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5A4B0C"/>
    <w:multiLevelType w:val="multilevel"/>
    <w:tmpl w:val="913AE18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66478A"/>
    <w:multiLevelType w:val="multilevel"/>
    <w:tmpl w:val="73B8CF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D4F2010"/>
    <w:multiLevelType w:val="multilevel"/>
    <w:tmpl w:val="8272BB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5335C9"/>
    <w:multiLevelType w:val="multilevel"/>
    <w:tmpl w:val="61CC28A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D07C7E"/>
    <w:multiLevelType w:val="multilevel"/>
    <w:tmpl w:val="81A8693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B61A34"/>
    <w:multiLevelType w:val="multilevel"/>
    <w:tmpl w:val="F7A283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7E2D81"/>
    <w:multiLevelType w:val="multilevel"/>
    <w:tmpl w:val="E050E94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DC2B21"/>
    <w:multiLevelType w:val="multilevel"/>
    <w:tmpl w:val="B7A8357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2711009"/>
    <w:multiLevelType w:val="multilevel"/>
    <w:tmpl w:val="A3FA21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682029B"/>
    <w:multiLevelType w:val="multilevel"/>
    <w:tmpl w:val="395031D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BFE5DE2"/>
    <w:multiLevelType w:val="multilevel"/>
    <w:tmpl w:val="C0E0FBA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F4B0129"/>
    <w:multiLevelType w:val="multilevel"/>
    <w:tmpl w:val="666EE9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7A6CDA"/>
    <w:multiLevelType w:val="multilevel"/>
    <w:tmpl w:val="8260260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DF0613A"/>
    <w:multiLevelType w:val="multilevel"/>
    <w:tmpl w:val="7364386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B7920D5"/>
    <w:multiLevelType w:val="multilevel"/>
    <w:tmpl w:val="73366A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
  </w:num>
  <w:num w:numId="3">
    <w:abstractNumId w:val="11"/>
  </w:num>
  <w:num w:numId="4">
    <w:abstractNumId w:val="15"/>
  </w:num>
  <w:num w:numId="5">
    <w:abstractNumId w:val="7"/>
  </w:num>
  <w:num w:numId="6">
    <w:abstractNumId w:val="13"/>
  </w:num>
  <w:num w:numId="7">
    <w:abstractNumId w:val="10"/>
  </w:num>
  <w:num w:numId="8">
    <w:abstractNumId w:val="2"/>
  </w:num>
  <w:num w:numId="9">
    <w:abstractNumId w:val="16"/>
  </w:num>
  <w:num w:numId="10">
    <w:abstractNumId w:val="14"/>
  </w:num>
  <w:num w:numId="11">
    <w:abstractNumId w:val="5"/>
  </w:num>
  <w:num w:numId="12">
    <w:abstractNumId w:val="3"/>
  </w:num>
  <w:num w:numId="13">
    <w:abstractNumId w:val="8"/>
  </w:num>
  <w:num w:numId="14">
    <w:abstractNumId w:val="4"/>
  </w:num>
  <w:num w:numId="15">
    <w:abstractNumId w:val="12"/>
  </w:num>
  <w:num w:numId="16">
    <w:abstractNumId w:val="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D35"/>
    <w:rsid w:val="00273653"/>
    <w:rsid w:val="003C02F3"/>
    <w:rsid w:val="004B50FE"/>
    <w:rsid w:val="00752CCB"/>
    <w:rsid w:val="00D460A7"/>
    <w:rsid w:val="00E02D35"/>
    <w:rsid w:val="00FE374E"/>
  </w:rsids>
  <m:mathPr>
    <m:mathFont m:val="Cambria Math"/>
    <m:brkBin m:val="before"/>
    <m:brkBinSub m:val="--"/>
    <m:smallFrac m:val="0"/>
    <m:dispDef/>
    <m:lMargin m:val="0"/>
    <m:rMargin m:val="0"/>
    <m:defJc m:val="centerGroup"/>
    <m:wrapIndent m:val="1440"/>
    <m:intLim m:val="subSup"/>
    <m:naryLim m:val="undOvr"/>
  </m:mathPr>
  <w:themeFontLang w:val="fr-S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6D4BE"/>
  <w15:docId w15:val="{275334F3-AEAC-4A22-B213-11CEC47B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fr-SN" w:eastAsia="fr-SN"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FE374E"/>
    <w:pPr>
      <w:tabs>
        <w:tab w:val="center" w:pos="4536"/>
        <w:tab w:val="right" w:pos="9072"/>
      </w:tabs>
      <w:spacing w:after="0" w:line="240" w:lineRule="auto"/>
    </w:pPr>
  </w:style>
  <w:style w:type="character" w:customStyle="1" w:styleId="En-tteCar">
    <w:name w:val="En-tête Car"/>
    <w:basedOn w:val="Policepardfaut"/>
    <w:link w:val="En-tte"/>
    <w:uiPriority w:val="99"/>
    <w:rsid w:val="00FE374E"/>
  </w:style>
  <w:style w:type="paragraph" w:styleId="Pieddepage">
    <w:name w:val="footer"/>
    <w:basedOn w:val="Normal"/>
    <w:link w:val="PieddepageCar"/>
    <w:uiPriority w:val="99"/>
    <w:unhideWhenUsed/>
    <w:rsid w:val="00FE37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E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2079</Words>
  <Characters>11438</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13491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3</cp:revision>
  <dcterms:created xsi:type="dcterms:W3CDTF">2025-02-11T09:46:00Z</dcterms:created>
  <dcterms:modified xsi:type="dcterms:W3CDTF">2025-02-14T11:34:00Z</dcterms:modified>
</cp:coreProperties>
</file>